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2829" w14:textId="77777777" w:rsidR="0000702D" w:rsidRPr="00245CBF" w:rsidRDefault="0000702D">
      <w:pPr>
        <w:rPr>
          <w:rFonts w:cstheme="minorHAnsi"/>
          <w:b/>
          <w:lang w:val="cs-CZ"/>
        </w:rPr>
      </w:pPr>
      <w:r w:rsidRPr="00245CBF">
        <w:rPr>
          <w:rFonts w:cstheme="minorHAnsi"/>
          <w:b/>
          <w:lang w:val="cs-CZ"/>
        </w:rPr>
        <w:t xml:space="preserve">Stanovisko České revmatologické společnosti ke třetí dávce očkování proti nemoci covid-19 u pacientů v imunosuprimovaném stavu z důvodů systémového autoimunitního onemocnění nebo </w:t>
      </w:r>
      <w:r w:rsidRPr="00245CBF">
        <w:rPr>
          <w:rFonts w:cstheme="minorHAnsi"/>
          <w:b/>
          <w:lang w:val="cs-CZ"/>
        </w:rPr>
        <w:t xml:space="preserve">podávané imunosupresivní léčby. </w:t>
      </w:r>
    </w:p>
    <w:p w14:paraId="3B438011" w14:textId="1B3211BE" w:rsidR="004C0463" w:rsidRPr="00245CBF" w:rsidRDefault="00727FCC" w:rsidP="00727FCC">
      <w:pPr>
        <w:tabs>
          <w:tab w:val="num" w:pos="720"/>
        </w:tabs>
        <w:rPr>
          <w:rFonts w:cstheme="minorHAnsi"/>
          <w:lang w:val="cs-CZ"/>
        </w:rPr>
      </w:pPr>
      <w:r w:rsidRPr="00245CBF">
        <w:rPr>
          <w:rFonts w:cstheme="minorHAnsi"/>
          <w:lang w:val="cs-CZ"/>
        </w:rPr>
        <w:t>N</w:t>
      </w:r>
      <w:r w:rsidR="001C6119" w:rsidRPr="00245CBF">
        <w:rPr>
          <w:rFonts w:cstheme="minorHAnsi"/>
          <w:lang w:val="cs-CZ"/>
        </w:rPr>
        <w:t xml:space="preserve">emocní s revmatickými chorobami mají mírně zvýšené riziko nákazy </w:t>
      </w:r>
      <w:r w:rsidR="00A17764">
        <w:rPr>
          <w:rFonts w:cstheme="minorHAnsi"/>
          <w:lang w:val="cs-CZ"/>
        </w:rPr>
        <w:t xml:space="preserve">virem </w:t>
      </w:r>
      <w:r w:rsidR="001C6119" w:rsidRPr="00245CBF">
        <w:rPr>
          <w:rFonts w:cstheme="minorHAnsi"/>
          <w:lang w:val="cs-CZ"/>
        </w:rPr>
        <w:t xml:space="preserve">SARS-CoV-2 a infekce </w:t>
      </w:r>
      <w:r w:rsidRPr="00245CBF">
        <w:rPr>
          <w:rFonts w:cstheme="minorHAnsi"/>
          <w:lang w:val="cs-CZ"/>
        </w:rPr>
        <w:t xml:space="preserve">u nich </w:t>
      </w:r>
      <w:r w:rsidR="001C6119" w:rsidRPr="00245CBF">
        <w:rPr>
          <w:rFonts w:cstheme="minorHAnsi"/>
          <w:lang w:val="cs-CZ"/>
        </w:rPr>
        <w:t>může probíhat závažněji</w:t>
      </w:r>
      <w:r w:rsidR="00B035BC" w:rsidRPr="00245CBF">
        <w:rPr>
          <w:rFonts w:cstheme="minorHAnsi"/>
          <w:lang w:val="cs-CZ"/>
        </w:rPr>
        <w:t xml:space="preserve"> (1-3)</w:t>
      </w:r>
      <w:r w:rsidR="001C6119" w:rsidRPr="00245CBF">
        <w:rPr>
          <w:rFonts w:cstheme="minorHAnsi"/>
          <w:lang w:val="cs-CZ"/>
        </w:rPr>
        <w:t xml:space="preserve">. </w:t>
      </w:r>
      <w:r w:rsidRPr="00245CBF">
        <w:rPr>
          <w:rFonts w:cstheme="minorHAnsi"/>
          <w:lang w:val="cs-CZ"/>
        </w:rPr>
        <w:t xml:space="preserve">Průběh </w:t>
      </w:r>
      <w:r w:rsidR="00A17764">
        <w:rPr>
          <w:rFonts w:cstheme="minorHAnsi"/>
          <w:lang w:val="cs-CZ"/>
        </w:rPr>
        <w:t xml:space="preserve">onemocnění COVID-19 </w:t>
      </w:r>
      <w:r w:rsidRPr="00245CBF">
        <w:rPr>
          <w:rFonts w:cstheme="minorHAnsi"/>
          <w:lang w:val="cs-CZ"/>
        </w:rPr>
        <w:t>je závislý na typu revmatické choroby, její aktivitě, na komorbiditách a zejména na druhu podávané léčby</w:t>
      </w:r>
      <w:r w:rsidR="00A4067C" w:rsidRPr="00245CBF">
        <w:rPr>
          <w:rFonts w:cstheme="minorHAnsi"/>
          <w:lang w:val="cs-CZ"/>
        </w:rPr>
        <w:t xml:space="preserve"> (</w:t>
      </w:r>
      <w:r w:rsidR="00901DFF" w:rsidRPr="00245CBF">
        <w:rPr>
          <w:rFonts w:cstheme="minorHAnsi"/>
          <w:lang w:val="cs-CZ"/>
        </w:rPr>
        <w:t>4-8)</w:t>
      </w:r>
      <w:r w:rsidRPr="00245CBF">
        <w:rPr>
          <w:rFonts w:cstheme="minorHAnsi"/>
          <w:lang w:val="cs-CZ"/>
        </w:rPr>
        <w:t xml:space="preserve">. </w:t>
      </w:r>
      <w:r w:rsidR="001C6119" w:rsidRPr="00245CBF">
        <w:rPr>
          <w:rFonts w:cstheme="minorHAnsi"/>
          <w:lang w:val="cs-CZ"/>
        </w:rPr>
        <w:t xml:space="preserve"> </w:t>
      </w:r>
      <w:r w:rsidRPr="00245CBF">
        <w:rPr>
          <w:rFonts w:cstheme="minorHAnsi"/>
          <w:lang w:val="cs-CZ"/>
        </w:rPr>
        <w:t xml:space="preserve">Vakcinace proti SARS-CoV-2 je efektivní a bezpečná pro </w:t>
      </w:r>
      <w:r w:rsidR="001C6119" w:rsidRPr="00245CBF">
        <w:rPr>
          <w:rFonts w:cstheme="minorHAnsi"/>
          <w:lang w:val="cs-CZ"/>
        </w:rPr>
        <w:t>většinu</w:t>
      </w:r>
      <w:r w:rsidRPr="00245CBF">
        <w:rPr>
          <w:rFonts w:cstheme="minorHAnsi"/>
          <w:lang w:val="cs-CZ"/>
        </w:rPr>
        <w:t xml:space="preserve"> nemocných s revmatickými chorobami a </w:t>
      </w:r>
      <w:r w:rsidR="00FA6C4E" w:rsidRPr="00245CBF">
        <w:rPr>
          <w:rFonts w:cstheme="minorHAnsi"/>
          <w:lang w:val="cs-CZ"/>
        </w:rPr>
        <w:t xml:space="preserve">v naprosté většině případů </w:t>
      </w:r>
      <w:r w:rsidR="00A17764">
        <w:rPr>
          <w:rFonts w:cstheme="minorHAnsi"/>
          <w:lang w:val="cs-CZ"/>
        </w:rPr>
        <w:t xml:space="preserve">nevede </w:t>
      </w:r>
      <w:r w:rsidRPr="00245CBF">
        <w:rPr>
          <w:rFonts w:cstheme="minorHAnsi"/>
          <w:lang w:val="cs-CZ"/>
        </w:rPr>
        <w:t>k</w:t>
      </w:r>
      <w:r w:rsidR="00A17764">
        <w:rPr>
          <w:rFonts w:cstheme="minorHAnsi"/>
          <w:lang w:val="cs-CZ"/>
        </w:rPr>
        <w:t> vzestupu aktivity revmatického</w:t>
      </w:r>
      <w:r w:rsidRPr="00245CBF">
        <w:rPr>
          <w:rFonts w:cstheme="minorHAnsi"/>
          <w:lang w:val="cs-CZ"/>
        </w:rPr>
        <w:t xml:space="preserve"> onemocnění</w:t>
      </w:r>
      <w:r w:rsidR="00901DFF" w:rsidRPr="00245CBF">
        <w:rPr>
          <w:rFonts w:cstheme="minorHAnsi"/>
          <w:lang w:val="cs-CZ"/>
        </w:rPr>
        <w:t xml:space="preserve"> (</w:t>
      </w:r>
      <w:r w:rsidR="00E55A15" w:rsidRPr="00245CBF">
        <w:rPr>
          <w:rFonts w:cstheme="minorHAnsi"/>
          <w:lang w:val="cs-CZ"/>
        </w:rPr>
        <w:t>9</w:t>
      </w:r>
      <w:r w:rsidR="00901DFF" w:rsidRPr="00245CBF">
        <w:rPr>
          <w:rFonts w:cstheme="minorHAnsi"/>
          <w:lang w:val="cs-CZ"/>
        </w:rPr>
        <w:t>)</w:t>
      </w:r>
      <w:r w:rsidRPr="00245CBF">
        <w:rPr>
          <w:rFonts w:cstheme="minorHAnsi"/>
          <w:lang w:val="cs-CZ"/>
        </w:rPr>
        <w:t>. Podobně jako u nemocných po orgánových</w:t>
      </w:r>
      <w:r w:rsidR="00D2451C">
        <w:rPr>
          <w:rFonts w:cstheme="minorHAnsi"/>
          <w:lang w:val="cs-CZ"/>
        </w:rPr>
        <w:t xml:space="preserve"> transplantacích</w:t>
      </w:r>
      <w:r w:rsidR="00A17764">
        <w:rPr>
          <w:rFonts w:cstheme="minorHAnsi"/>
          <w:lang w:val="cs-CZ"/>
        </w:rPr>
        <w:t>, ale</w:t>
      </w:r>
      <w:r w:rsidRPr="00245CBF">
        <w:rPr>
          <w:rFonts w:cstheme="minorHAnsi"/>
          <w:lang w:val="cs-CZ"/>
        </w:rPr>
        <w:t xml:space="preserve"> existuje </w:t>
      </w:r>
      <w:r w:rsidR="00A17764">
        <w:rPr>
          <w:rFonts w:cstheme="minorHAnsi"/>
          <w:lang w:val="cs-CZ"/>
        </w:rPr>
        <w:t xml:space="preserve">i </w:t>
      </w:r>
      <w:r w:rsidRPr="00245CBF">
        <w:rPr>
          <w:rFonts w:cstheme="minorHAnsi"/>
          <w:lang w:val="cs-CZ"/>
        </w:rPr>
        <w:t xml:space="preserve">skupina revmatických nemocných léčených imunosupresivy, </w:t>
      </w:r>
      <w:r w:rsidR="00A17764">
        <w:rPr>
          <w:rFonts w:cstheme="minorHAnsi"/>
          <w:lang w:val="cs-CZ"/>
        </w:rPr>
        <w:t xml:space="preserve">u kterých </w:t>
      </w:r>
      <w:r w:rsidRPr="00245CBF">
        <w:rPr>
          <w:rFonts w:cstheme="minorHAnsi"/>
          <w:lang w:val="cs-CZ"/>
        </w:rPr>
        <w:t xml:space="preserve">je </w:t>
      </w:r>
      <w:r w:rsidR="00A17764">
        <w:rPr>
          <w:rFonts w:cstheme="minorHAnsi"/>
          <w:lang w:val="cs-CZ"/>
        </w:rPr>
        <w:t>účinnost</w:t>
      </w:r>
      <w:r w:rsidRPr="00245CBF">
        <w:rPr>
          <w:rFonts w:cstheme="minorHAnsi"/>
          <w:lang w:val="cs-CZ"/>
        </w:rPr>
        <w:t xml:space="preserve"> očkování nedostatečná a </w:t>
      </w:r>
      <w:r w:rsidR="00A17764">
        <w:rPr>
          <w:rFonts w:cstheme="minorHAnsi"/>
          <w:lang w:val="cs-CZ"/>
        </w:rPr>
        <w:t xml:space="preserve">k </w:t>
      </w:r>
      <w:r w:rsidRPr="00245CBF">
        <w:rPr>
          <w:rFonts w:cstheme="minorHAnsi"/>
          <w:lang w:val="cs-CZ"/>
        </w:rPr>
        <w:t>prolomení ochrany navozené očkováním</w:t>
      </w:r>
      <w:r w:rsidR="00194591" w:rsidRPr="00245CBF">
        <w:rPr>
          <w:rFonts w:cstheme="minorHAnsi"/>
          <w:lang w:val="cs-CZ"/>
        </w:rPr>
        <w:t xml:space="preserve"> </w:t>
      </w:r>
      <w:r w:rsidR="00A17764">
        <w:rPr>
          <w:rFonts w:cstheme="minorHAnsi"/>
          <w:lang w:val="cs-CZ"/>
        </w:rPr>
        <w:t xml:space="preserve">dochází </w:t>
      </w:r>
      <w:r w:rsidR="00194591" w:rsidRPr="00245CBF">
        <w:rPr>
          <w:rFonts w:cstheme="minorHAnsi"/>
          <w:lang w:val="cs-CZ"/>
        </w:rPr>
        <w:t>významně častěj</w:t>
      </w:r>
      <w:r w:rsidR="00A17764">
        <w:rPr>
          <w:rFonts w:cstheme="minorHAnsi"/>
          <w:lang w:val="cs-CZ"/>
        </w:rPr>
        <w:t>i</w:t>
      </w:r>
      <w:r w:rsidRPr="00245CBF">
        <w:rPr>
          <w:rFonts w:cstheme="minorHAnsi"/>
          <w:lang w:val="cs-CZ"/>
        </w:rPr>
        <w:t xml:space="preserve">. Jde zejména o nemocné, kteří jsou léčení </w:t>
      </w:r>
      <w:r w:rsidR="00F15B1E">
        <w:rPr>
          <w:rFonts w:cstheme="minorHAnsi"/>
          <w:lang w:val="cs-CZ"/>
        </w:rPr>
        <w:t>vyššími dávkami glukokortikoidů</w:t>
      </w:r>
      <w:r w:rsidR="004C0463" w:rsidRPr="00245CBF">
        <w:rPr>
          <w:rFonts w:cstheme="minorHAnsi"/>
          <w:lang w:val="cs-CZ"/>
        </w:rPr>
        <w:t xml:space="preserve"> </w:t>
      </w:r>
      <w:r w:rsidR="00A17764">
        <w:rPr>
          <w:rFonts w:cstheme="minorHAnsi"/>
          <w:lang w:val="cs-CZ"/>
        </w:rPr>
        <w:t>(p</w:t>
      </w:r>
      <w:r w:rsidRPr="00245CBF">
        <w:rPr>
          <w:rFonts w:cstheme="minorHAnsi"/>
          <w:lang w:val="cs-CZ"/>
        </w:rPr>
        <w:t xml:space="preserve">rednison </w:t>
      </w:r>
      <w:r w:rsidR="00A17764">
        <w:rPr>
          <w:rFonts w:cstheme="minorHAnsi"/>
          <w:lang w:val="cs-CZ"/>
        </w:rPr>
        <w:t>≥</w:t>
      </w:r>
      <w:r w:rsidRPr="00245CBF">
        <w:rPr>
          <w:rFonts w:cstheme="minorHAnsi"/>
          <w:lang w:val="cs-CZ"/>
        </w:rPr>
        <w:t xml:space="preserve"> 20 mg denně</w:t>
      </w:r>
      <w:r w:rsidR="00A17764">
        <w:rPr>
          <w:rFonts w:cstheme="minorHAnsi"/>
          <w:lang w:val="cs-CZ"/>
        </w:rPr>
        <w:t>)</w:t>
      </w:r>
      <w:r w:rsidRPr="00245CBF">
        <w:rPr>
          <w:rFonts w:cstheme="minorHAnsi"/>
          <w:lang w:val="cs-CZ"/>
        </w:rPr>
        <w:t xml:space="preserve"> nebo rituximab</w:t>
      </w:r>
      <w:r w:rsidR="004C0463" w:rsidRPr="00245CBF">
        <w:rPr>
          <w:rFonts w:cstheme="minorHAnsi"/>
          <w:lang w:val="cs-CZ"/>
        </w:rPr>
        <w:t>em</w:t>
      </w:r>
      <w:r w:rsidR="00E55A15" w:rsidRPr="00245CBF">
        <w:rPr>
          <w:rFonts w:cstheme="minorHAnsi"/>
          <w:lang w:val="cs-CZ"/>
        </w:rPr>
        <w:t xml:space="preserve"> (10, 11)</w:t>
      </w:r>
      <w:r w:rsidR="004C0463" w:rsidRPr="00245CBF">
        <w:rPr>
          <w:rFonts w:cstheme="minorHAnsi"/>
          <w:lang w:val="cs-CZ"/>
        </w:rPr>
        <w:t>. N</w:t>
      </w:r>
      <w:r w:rsidRPr="00245CBF">
        <w:rPr>
          <w:rFonts w:cstheme="minorHAnsi"/>
          <w:lang w:val="cs-CZ"/>
        </w:rPr>
        <w:t xml:space="preserve">ižší efektivita </w:t>
      </w:r>
      <w:r w:rsidR="004C0463" w:rsidRPr="00245CBF">
        <w:rPr>
          <w:rFonts w:cstheme="minorHAnsi"/>
          <w:lang w:val="cs-CZ"/>
        </w:rPr>
        <w:t xml:space="preserve">očkování </w:t>
      </w:r>
      <w:r w:rsidR="001C6119" w:rsidRPr="00245CBF">
        <w:rPr>
          <w:rFonts w:cstheme="minorHAnsi"/>
          <w:lang w:val="cs-CZ"/>
        </w:rPr>
        <w:t>může</w:t>
      </w:r>
      <w:r w:rsidR="004C0463" w:rsidRPr="00245CBF">
        <w:rPr>
          <w:rFonts w:cstheme="minorHAnsi"/>
          <w:lang w:val="cs-CZ"/>
        </w:rPr>
        <w:t xml:space="preserve"> souvis</w:t>
      </w:r>
      <w:r w:rsidR="001C6119" w:rsidRPr="00245CBF">
        <w:rPr>
          <w:rFonts w:cstheme="minorHAnsi"/>
          <w:lang w:val="cs-CZ"/>
        </w:rPr>
        <w:t>et</w:t>
      </w:r>
      <w:r w:rsidR="004C0463" w:rsidRPr="00245CBF">
        <w:rPr>
          <w:rFonts w:cstheme="minorHAnsi"/>
          <w:lang w:val="cs-CZ"/>
        </w:rPr>
        <w:t xml:space="preserve"> i s podáváním</w:t>
      </w:r>
      <w:r w:rsidRPr="00245CBF">
        <w:rPr>
          <w:rFonts w:cstheme="minorHAnsi"/>
          <w:lang w:val="cs-CZ"/>
        </w:rPr>
        <w:t xml:space="preserve"> </w:t>
      </w:r>
      <w:r w:rsidR="004C0463" w:rsidRPr="00245CBF">
        <w:rPr>
          <w:rFonts w:cstheme="minorHAnsi"/>
          <w:lang w:val="cs-CZ"/>
        </w:rPr>
        <w:t>dalších lé</w:t>
      </w:r>
      <w:r w:rsidR="00A17764">
        <w:rPr>
          <w:rFonts w:cstheme="minorHAnsi"/>
          <w:lang w:val="cs-CZ"/>
        </w:rPr>
        <w:t>čiv</w:t>
      </w:r>
      <w:r w:rsidR="004C0463" w:rsidRPr="00245CBF">
        <w:rPr>
          <w:rFonts w:cstheme="minorHAnsi"/>
          <w:lang w:val="cs-CZ"/>
        </w:rPr>
        <w:t xml:space="preserve"> užívaných v revmatologii jako jsou cyklofosfamid,  mykofenolát mofetil, azathioprin,  </w:t>
      </w:r>
      <w:r w:rsidR="00B065CA" w:rsidRPr="00245CBF">
        <w:rPr>
          <w:rFonts w:cstheme="minorHAnsi"/>
          <w:lang w:val="cs-CZ"/>
        </w:rPr>
        <w:t>metotrexát</w:t>
      </w:r>
      <w:r w:rsidR="004C0463" w:rsidRPr="00245CBF">
        <w:rPr>
          <w:rFonts w:cstheme="minorHAnsi"/>
          <w:lang w:val="cs-CZ"/>
        </w:rPr>
        <w:t>, leflunomid, kalcineurinové inhibitory, JAK inhibitory a biologické léky včetně belimumabu, TNF inhibitorů, abataceptu, inhibitorů IL-6R, IL-1, IL-17, IL-12/23 a IL-23</w:t>
      </w:r>
      <w:r w:rsidR="00D93D52" w:rsidRPr="00245CBF">
        <w:rPr>
          <w:rFonts w:cstheme="minorHAnsi"/>
          <w:lang w:val="cs-CZ"/>
        </w:rPr>
        <w:t xml:space="preserve"> (12, 13)</w:t>
      </w:r>
      <w:r w:rsidR="004C0463" w:rsidRPr="00245CBF">
        <w:rPr>
          <w:rFonts w:cstheme="minorHAnsi"/>
          <w:lang w:val="cs-CZ"/>
        </w:rPr>
        <w:t xml:space="preserve">. </w:t>
      </w:r>
    </w:p>
    <w:p w14:paraId="2794D77B" w14:textId="46D23C6E" w:rsidR="006E7045" w:rsidRPr="00245CBF" w:rsidRDefault="006E7045" w:rsidP="00727FCC">
      <w:pPr>
        <w:tabs>
          <w:tab w:val="num" w:pos="720"/>
        </w:tabs>
        <w:rPr>
          <w:rFonts w:cstheme="minorHAnsi"/>
          <w:lang w:val="cs-CZ"/>
        </w:rPr>
      </w:pPr>
      <w:r w:rsidRPr="00245CBF">
        <w:rPr>
          <w:rFonts w:cstheme="minorHAnsi"/>
          <w:lang w:val="cs-CZ"/>
        </w:rPr>
        <w:t>Zkušenosti s </w:t>
      </w:r>
      <w:r w:rsidR="00A17764">
        <w:rPr>
          <w:rFonts w:cstheme="minorHAnsi"/>
          <w:lang w:val="cs-CZ"/>
        </w:rPr>
        <w:t>účinností</w:t>
      </w:r>
      <w:r w:rsidRPr="00245CBF">
        <w:rPr>
          <w:rFonts w:cstheme="minorHAnsi"/>
          <w:lang w:val="cs-CZ"/>
        </w:rPr>
        <w:t xml:space="preserve"> třetí dávky vakcíny proti SARS-C</w:t>
      </w:r>
      <w:r w:rsidR="00A17764">
        <w:rPr>
          <w:rFonts w:cstheme="minorHAnsi"/>
          <w:lang w:val="cs-CZ"/>
        </w:rPr>
        <w:t>oV</w:t>
      </w:r>
      <w:r w:rsidRPr="00245CBF">
        <w:rPr>
          <w:rFonts w:cstheme="minorHAnsi"/>
          <w:lang w:val="cs-CZ"/>
        </w:rPr>
        <w:t xml:space="preserve">-2 </w:t>
      </w:r>
      <w:r w:rsidR="00FA6C4E" w:rsidRPr="00245CBF">
        <w:rPr>
          <w:rFonts w:cstheme="minorHAnsi"/>
          <w:lang w:val="cs-CZ"/>
        </w:rPr>
        <w:t>ne</w:t>
      </w:r>
      <w:r w:rsidRPr="00245CBF">
        <w:rPr>
          <w:rFonts w:cstheme="minorHAnsi"/>
          <w:lang w:val="cs-CZ"/>
        </w:rPr>
        <w:t xml:space="preserve">jsou u imunosuprimovaných revmatických nemocných </w:t>
      </w:r>
      <w:r w:rsidR="00FA6C4E" w:rsidRPr="00245CBF">
        <w:rPr>
          <w:rFonts w:cstheme="minorHAnsi"/>
          <w:lang w:val="cs-CZ"/>
        </w:rPr>
        <w:t>zatím k dispozici</w:t>
      </w:r>
      <w:r w:rsidRPr="00245CBF">
        <w:rPr>
          <w:rFonts w:cstheme="minorHAnsi"/>
          <w:lang w:val="cs-CZ"/>
        </w:rPr>
        <w:t xml:space="preserve">. </w:t>
      </w:r>
      <w:r w:rsidR="00FA6C4E" w:rsidRPr="00245CBF">
        <w:rPr>
          <w:rFonts w:cstheme="minorHAnsi"/>
          <w:lang w:val="cs-CZ"/>
        </w:rPr>
        <w:t xml:space="preserve">Velmi pravděpodobně však můžeme extrapolovat </w:t>
      </w:r>
      <w:r w:rsidR="00A17764">
        <w:rPr>
          <w:rFonts w:cstheme="minorHAnsi"/>
          <w:lang w:val="cs-CZ"/>
        </w:rPr>
        <w:t>ze zkušeností</w:t>
      </w:r>
      <w:r w:rsidR="00A17764" w:rsidRPr="00245CBF">
        <w:rPr>
          <w:rFonts w:cstheme="minorHAnsi"/>
          <w:lang w:val="cs-CZ"/>
        </w:rPr>
        <w:t xml:space="preserve"> </w:t>
      </w:r>
      <w:r w:rsidR="00FA6C4E" w:rsidRPr="00245CBF">
        <w:rPr>
          <w:rFonts w:cstheme="minorHAnsi"/>
          <w:lang w:val="cs-CZ"/>
        </w:rPr>
        <w:t>u pacientů</w:t>
      </w:r>
      <w:r w:rsidRPr="00245CBF">
        <w:rPr>
          <w:rFonts w:cstheme="minorHAnsi"/>
          <w:lang w:val="cs-CZ"/>
        </w:rPr>
        <w:t xml:space="preserve"> po orgánové transplantaci</w:t>
      </w:r>
      <w:r w:rsidR="00FA6C4E" w:rsidRPr="00245CBF">
        <w:rPr>
          <w:rFonts w:cstheme="minorHAnsi"/>
          <w:lang w:val="cs-CZ"/>
        </w:rPr>
        <w:t>, kde</w:t>
      </w:r>
      <w:r w:rsidRPr="00245CBF">
        <w:rPr>
          <w:rFonts w:cstheme="minorHAnsi"/>
          <w:lang w:val="cs-CZ"/>
        </w:rPr>
        <w:t xml:space="preserve"> je efekt třetího podání vakcíny významný</w:t>
      </w:r>
      <w:r w:rsidR="00A34166" w:rsidRPr="00245CBF">
        <w:rPr>
          <w:rFonts w:cstheme="minorHAnsi"/>
          <w:lang w:val="cs-CZ"/>
        </w:rPr>
        <w:t xml:space="preserve"> a </w:t>
      </w:r>
      <w:r w:rsidR="001C6119" w:rsidRPr="00245CBF">
        <w:rPr>
          <w:rFonts w:cstheme="minorHAnsi"/>
          <w:lang w:val="cs-CZ"/>
        </w:rPr>
        <w:t>navozuje dostatečnou</w:t>
      </w:r>
      <w:r w:rsidR="00A34166" w:rsidRPr="00245CBF">
        <w:rPr>
          <w:rFonts w:cstheme="minorHAnsi"/>
          <w:lang w:val="cs-CZ"/>
        </w:rPr>
        <w:t xml:space="preserve"> hladinu protilátek u 33 – </w:t>
      </w:r>
      <w:r w:rsidR="00B065CA" w:rsidRPr="00245CBF">
        <w:rPr>
          <w:rFonts w:cstheme="minorHAnsi"/>
          <w:lang w:val="cs-CZ"/>
        </w:rPr>
        <w:t>50% nemocných</w:t>
      </w:r>
      <w:r w:rsidR="001C6119" w:rsidRPr="00245CBF">
        <w:rPr>
          <w:rFonts w:cstheme="minorHAnsi"/>
          <w:lang w:val="cs-CZ"/>
        </w:rPr>
        <w:t>, kteří po základním očkování měli protilátky proti SARS-CoV-2 negativní</w:t>
      </w:r>
      <w:r w:rsidR="00A34166" w:rsidRPr="00245CBF">
        <w:rPr>
          <w:rFonts w:cstheme="minorHAnsi"/>
          <w:lang w:val="cs-CZ"/>
        </w:rPr>
        <w:t xml:space="preserve"> (</w:t>
      </w:r>
      <w:r w:rsidR="00D93D52" w:rsidRPr="00245CBF">
        <w:rPr>
          <w:rFonts w:cstheme="minorHAnsi"/>
          <w:lang w:val="cs-CZ"/>
        </w:rPr>
        <w:t>14</w:t>
      </w:r>
      <w:r w:rsidR="00A34166" w:rsidRPr="00245CBF">
        <w:rPr>
          <w:rFonts w:cstheme="minorHAnsi"/>
          <w:lang w:val="cs-CZ"/>
        </w:rPr>
        <w:t xml:space="preserve">). Tyto a další skutečnosti </w:t>
      </w:r>
      <w:r w:rsidR="0080192C" w:rsidRPr="00245CBF">
        <w:rPr>
          <w:rFonts w:cstheme="minorHAnsi"/>
          <w:lang w:val="cs-CZ"/>
        </w:rPr>
        <w:t>(</w:t>
      </w:r>
      <w:r w:rsidR="00D93D52" w:rsidRPr="00245CBF">
        <w:rPr>
          <w:rFonts w:cstheme="minorHAnsi"/>
          <w:lang w:val="cs-CZ"/>
        </w:rPr>
        <w:t>15-18</w:t>
      </w:r>
      <w:r w:rsidR="0080192C" w:rsidRPr="00245CBF">
        <w:rPr>
          <w:rFonts w:cstheme="minorHAnsi"/>
          <w:lang w:val="cs-CZ"/>
        </w:rPr>
        <w:t xml:space="preserve">) </w:t>
      </w:r>
      <w:r w:rsidR="00A34166" w:rsidRPr="00245CBF">
        <w:rPr>
          <w:rFonts w:cstheme="minorHAnsi"/>
          <w:lang w:val="cs-CZ"/>
        </w:rPr>
        <w:t xml:space="preserve">vedly k vydání Stanoviska Společnosti pro orgánové transplantace ČLS JEP, České společnosti pro alergologii a klinickou imunologii ČLS JEP, České vakcinologické společnosti ČLS JEP a Společnosti pro epidemiologii a mikrobiologii ČLS JEP ke třetí dávce očkování proti nemoci covid-19 u pacientů po transplantaci </w:t>
      </w:r>
      <w:r w:rsidR="00A34166" w:rsidRPr="00245CBF">
        <w:rPr>
          <w:rFonts w:cstheme="minorHAnsi"/>
          <w:lang w:val="cs-CZ"/>
        </w:rPr>
        <w:t>solidních orgánů, ve kterém doporučují za určitých okolností podání třetí dávky</w:t>
      </w:r>
      <w:r w:rsidR="00D2451C">
        <w:rPr>
          <w:rFonts w:cstheme="minorHAnsi"/>
          <w:lang w:val="cs-CZ"/>
        </w:rPr>
        <w:t xml:space="preserve"> (19)</w:t>
      </w:r>
      <w:r w:rsidR="00A34166" w:rsidRPr="00245CBF">
        <w:rPr>
          <w:rFonts w:cstheme="minorHAnsi"/>
          <w:lang w:val="cs-CZ"/>
        </w:rPr>
        <w:t xml:space="preserve">. Americká revmatologická společnost (ACR) přejala 19. </w:t>
      </w:r>
      <w:r w:rsidR="00B33E1F" w:rsidRPr="00245CBF">
        <w:rPr>
          <w:rFonts w:cstheme="minorHAnsi"/>
          <w:lang w:val="cs-CZ"/>
        </w:rPr>
        <w:t>s</w:t>
      </w:r>
      <w:r w:rsidR="00A34166" w:rsidRPr="00245CBF">
        <w:rPr>
          <w:rFonts w:cstheme="minorHAnsi"/>
          <w:lang w:val="cs-CZ"/>
        </w:rPr>
        <w:t xml:space="preserve">rpna 2021 do svých </w:t>
      </w:r>
      <w:r w:rsidR="00A17764">
        <w:rPr>
          <w:rFonts w:cstheme="minorHAnsi"/>
          <w:lang w:val="cs-CZ"/>
        </w:rPr>
        <w:t xml:space="preserve">aktualizovaných </w:t>
      </w:r>
      <w:r w:rsidR="00A34166" w:rsidRPr="00245CBF">
        <w:rPr>
          <w:rFonts w:cstheme="minorHAnsi"/>
          <w:lang w:val="cs-CZ"/>
        </w:rPr>
        <w:t xml:space="preserve">postupů doporučení Centra pro kontrolu onemocnění (CDC), ve kterém jsou vedle imunosuprimovaných nemocných s nádorovými </w:t>
      </w:r>
      <w:r w:rsidR="00194591" w:rsidRPr="00245CBF">
        <w:rPr>
          <w:rFonts w:cstheme="minorHAnsi"/>
          <w:lang w:val="cs-CZ"/>
        </w:rPr>
        <w:t>chorobami</w:t>
      </w:r>
      <w:r w:rsidR="00A34166" w:rsidRPr="00245CBF">
        <w:rPr>
          <w:rFonts w:cstheme="minorHAnsi"/>
          <w:lang w:val="cs-CZ"/>
        </w:rPr>
        <w:t xml:space="preserve"> indikováni</w:t>
      </w:r>
      <w:r w:rsidR="001C6119" w:rsidRPr="00245CBF">
        <w:rPr>
          <w:rFonts w:cstheme="minorHAnsi"/>
          <w:lang w:val="cs-CZ"/>
        </w:rPr>
        <w:t xml:space="preserve"> k třetí dávce</w:t>
      </w:r>
      <w:r w:rsidR="00A34166" w:rsidRPr="00245CBF">
        <w:rPr>
          <w:rFonts w:cstheme="minorHAnsi"/>
          <w:lang w:val="cs-CZ"/>
        </w:rPr>
        <w:t xml:space="preserve"> </w:t>
      </w:r>
      <w:r w:rsidR="00B33E1F" w:rsidRPr="00245CBF">
        <w:rPr>
          <w:rFonts w:cstheme="minorHAnsi"/>
          <w:lang w:val="cs-CZ"/>
        </w:rPr>
        <w:t>i</w:t>
      </w:r>
      <w:r w:rsidR="00A34166" w:rsidRPr="00245CBF">
        <w:rPr>
          <w:rFonts w:cstheme="minorHAnsi"/>
          <w:lang w:val="cs-CZ"/>
        </w:rPr>
        <w:t xml:space="preserve"> nemocní s </w:t>
      </w:r>
      <w:r w:rsidR="005903F4" w:rsidRPr="00245CBF">
        <w:rPr>
          <w:rFonts w:cstheme="minorHAnsi"/>
          <w:lang w:val="cs-CZ"/>
        </w:rPr>
        <w:t>revmatickými</w:t>
      </w:r>
      <w:r w:rsidR="00A34166" w:rsidRPr="00245CBF">
        <w:rPr>
          <w:rFonts w:cstheme="minorHAnsi"/>
          <w:lang w:val="cs-CZ"/>
        </w:rPr>
        <w:t xml:space="preserve"> nemocemi na imunosupresivní léčbě (Seznam těchto léků je uveden výše)</w:t>
      </w:r>
      <w:r w:rsidR="00A76325" w:rsidRPr="00245CBF">
        <w:rPr>
          <w:rFonts w:cstheme="minorHAnsi"/>
          <w:lang w:val="cs-CZ"/>
        </w:rPr>
        <w:t xml:space="preserve"> (12, 13)</w:t>
      </w:r>
      <w:r w:rsidR="00A34166" w:rsidRPr="00245CBF">
        <w:rPr>
          <w:rFonts w:cstheme="minorHAnsi"/>
          <w:lang w:val="cs-CZ"/>
        </w:rPr>
        <w:t xml:space="preserve">. </w:t>
      </w:r>
      <w:r w:rsidR="00B33E1F" w:rsidRPr="00245CBF">
        <w:rPr>
          <w:rFonts w:cstheme="minorHAnsi"/>
          <w:lang w:val="cs-CZ"/>
        </w:rPr>
        <w:t xml:space="preserve">Podobná opatření přijaly </w:t>
      </w:r>
      <w:r w:rsidR="00194591" w:rsidRPr="00245CBF">
        <w:rPr>
          <w:rFonts w:cstheme="minorHAnsi"/>
          <w:lang w:val="cs-CZ"/>
        </w:rPr>
        <w:t>i</w:t>
      </w:r>
      <w:r w:rsidR="00B33E1F" w:rsidRPr="00245CBF">
        <w:rPr>
          <w:rFonts w:cstheme="minorHAnsi"/>
          <w:lang w:val="cs-CZ"/>
        </w:rPr>
        <w:t xml:space="preserve"> další země, např. Spojené království, Francie</w:t>
      </w:r>
      <w:r w:rsidR="00A17764">
        <w:rPr>
          <w:rFonts w:cstheme="minorHAnsi"/>
          <w:lang w:val="cs-CZ"/>
        </w:rPr>
        <w:t xml:space="preserve"> a</w:t>
      </w:r>
      <w:r w:rsidR="00A17764" w:rsidRPr="00245CBF">
        <w:rPr>
          <w:rFonts w:cstheme="minorHAnsi"/>
          <w:lang w:val="cs-CZ"/>
        </w:rPr>
        <w:t xml:space="preserve"> </w:t>
      </w:r>
      <w:r w:rsidR="00B33E1F" w:rsidRPr="00245CBF">
        <w:rPr>
          <w:rFonts w:cstheme="minorHAnsi"/>
          <w:lang w:val="cs-CZ"/>
        </w:rPr>
        <w:t xml:space="preserve">Izrael. </w:t>
      </w:r>
    </w:p>
    <w:p w14:paraId="141B5238" w14:textId="2E977706" w:rsidR="001C6119" w:rsidRPr="00245CBF" w:rsidRDefault="00B33E1F" w:rsidP="00B33E1F">
      <w:pPr>
        <w:tabs>
          <w:tab w:val="num" w:pos="720"/>
        </w:tabs>
        <w:rPr>
          <w:rFonts w:cstheme="minorHAnsi"/>
          <w:lang w:val="cs-CZ"/>
        </w:rPr>
      </w:pPr>
      <w:r w:rsidRPr="00245CBF">
        <w:rPr>
          <w:rFonts w:cstheme="minorHAnsi"/>
          <w:lang w:val="cs-CZ"/>
        </w:rPr>
        <w:t>Při současném stav</w:t>
      </w:r>
      <w:r w:rsidR="00FA6C4E" w:rsidRPr="00245CBF">
        <w:rPr>
          <w:rFonts w:cstheme="minorHAnsi"/>
          <w:lang w:val="cs-CZ"/>
        </w:rPr>
        <w:t>u znalostí a absenci</w:t>
      </w:r>
      <w:r w:rsidRPr="00245CBF">
        <w:rPr>
          <w:rFonts w:cstheme="minorHAnsi"/>
          <w:lang w:val="cs-CZ"/>
        </w:rPr>
        <w:t xml:space="preserve"> údajů u revmatických onemocnění nelze doporučit plošnou indikaci třetí vakcíny u všech </w:t>
      </w:r>
      <w:r w:rsidR="00A17764">
        <w:rPr>
          <w:rFonts w:cstheme="minorHAnsi"/>
          <w:lang w:val="cs-CZ"/>
        </w:rPr>
        <w:t xml:space="preserve">nemocných s revmatickým onemocněním nebo na </w:t>
      </w:r>
      <w:r w:rsidRPr="00245CBF">
        <w:rPr>
          <w:rFonts w:cstheme="minorHAnsi"/>
          <w:lang w:val="cs-CZ"/>
        </w:rPr>
        <w:t>imunosupr</w:t>
      </w:r>
      <w:r w:rsidR="00A17764">
        <w:rPr>
          <w:rFonts w:cstheme="minorHAnsi"/>
          <w:lang w:val="cs-CZ"/>
        </w:rPr>
        <w:t>esivní léčbě</w:t>
      </w:r>
      <w:r w:rsidRPr="00245CBF">
        <w:rPr>
          <w:rFonts w:cstheme="minorHAnsi"/>
          <w:lang w:val="cs-CZ"/>
        </w:rPr>
        <w:t xml:space="preserve">. Je zapotřebí zvážit možná rizika a přijmout sdílené rozhodnutí po konzultaci s pacientem. V současné době se jeví jako </w:t>
      </w:r>
      <w:r w:rsidR="00A17764">
        <w:rPr>
          <w:rFonts w:cstheme="minorHAnsi"/>
          <w:lang w:val="cs-CZ"/>
        </w:rPr>
        <w:t xml:space="preserve">nejvíce indikované k podání třetí dávky očkování </w:t>
      </w:r>
      <w:r w:rsidRPr="00245CBF">
        <w:rPr>
          <w:rFonts w:cstheme="minorHAnsi"/>
          <w:lang w:val="cs-CZ"/>
        </w:rPr>
        <w:t>skupiny</w:t>
      </w:r>
      <w:r w:rsidR="00FA6C4E" w:rsidRPr="00245CBF">
        <w:rPr>
          <w:rFonts w:cstheme="minorHAnsi"/>
          <w:lang w:val="cs-CZ"/>
        </w:rPr>
        <w:t xml:space="preserve"> nemocných léčených rituximabem</w:t>
      </w:r>
      <w:r w:rsidR="00B065CA" w:rsidRPr="00245CBF">
        <w:rPr>
          <w:rFonts w:cstheme="minorHAnsi"/>
          <w:lang w:val="cs-CZ"/>
        </w:rPr>
        <w:t xml:space="preserve"> a</w:t>
      </w:r>
      <w:r w:rsidR="00FA6C4E" w:rsidRPr="00245CBF">
        <w:rPr>
          <w:rFonts w:cstheme="minorHAnsi"/>
          <w:lang w:val="cs-CZ"/>
        </w:rPr>
        <w:t xml:space="preserve"> </w:t>
      </w:r>
      <w:r w:rsidRPr="00245CBF">
        <w:rPr>
          <w:rFonts w:cstheme="minorHAnsi"/>
          <w:lang w:val="cs-CZ"/>
        </w:rPr>
        <w:t>vyššími dávkami glukokortikoidů (</w:t>
      </w:r>
      <w:r w:rsidR="00A17764">
        <w:rPr>
          <w:rFonts w:cstheme="minorHAnsi"/>
          <w:lang w:val="cs-CZ"/>
        </w:rPr>
        <w:t>p</w:t>
      </w:r>
      <w:r w:rsidR="00A17764" w:rsidRPr="00245CBF">
        <w:rPr>
          <w:rFonts w:cstheme="minorHAnsi"/>
          <w:lang w:val="cs-CZ"/>
        </w:rPr>
        <w:t xml:space="preserve">rednison </w:t>
      </w:r>
      <w:r w:rsidR="00A17764">
        <w:rPr>
          <w:rFonts w:cstheme="minorHAnsi"/>
          <w:lang w:val="cs-CZ"/>
        </w:rPr>
        <w:t>≥</w:t>
      </w:r>
      <w:r w:rsidRPr="00245CBF">
        <w:rPr>
          <w:rFonts w:cstheme="minorHAnsi"/>
          <w:lang w:val="cs-CZ"/>
        </w:rPr>
        <w:t xml:space="preserve"> 20 mg), protože spolehlivých údajů o častějším velmi závažném průběhu </w:t>
      </w:r>
      <w:r w:rsidR="00A17764">
        <w:rPr>
          <w:rFonts w:cstheme="minorHAnsi"/>
          <w:lang w:val="cs-CZ"/>
        </w:rPr>
        <w:t xml:space="preserve">onemocnění </w:t>
      </w:r>
      <w:r w:rsidRPr="00245CBF">
        <w:rPr>
          <w:rFonts w:cstheme="minorHAnsi"/>
          <w:lang w:val="cs-CZ"/>
        </w:rPr>
        <w:t xml:space="preserve">COVID-19 </w:t>
      </w:r>
      <w:r w:rsidR="00194591" w:rsidRPr="00245CBF">
        <w:rPr>
          <w:rFonts w:cstheme="minorHAnsi"/>
          <w:lang w:val="cs-CZ"/>
        </w:rPr>
        <w:t xml:space="preserve">je v těchto případech </w:t>
      </w:r>
      <w:r w:rsidRPr="00245CBF">
        <w:rPr>
          <w:rFonts w:cstheme="minorHAnsi"/>
          <w:lang w:val="cs-CZ"/>
        </w:rPr>
        <w:t>k dispozici dostatečné množství</w:t>
      </w:r>
      <w:r w:rsidR="00B035BC" w:rsidRPr="00245CBF">
        <w:rPr>
          <w:rFonts w:cstheme="minorHAnsi"/>
          <w:lang w:val="cs-CZ"/>
        </w:rPr>
        <w:t xml:space="preserve"> (</w:t>
      </w:r>
      <w:r w:rsidR="00C7180A">
        <w:rPr>
          <w:rFonts w:cstheme="minorHAnsi"/>
          <w:lang w:val="cs-CZ"/>
        </w:rPr>
        <w:t>20</w:t>
      </w:r>
      <w:r w:rsidR="00A76325" w:rsidRPr="00245CBF">
        <w:rPr>
          <w:rFonts w:cstheme="minorHAnsi"/>
          <w:lang w:val="cs-CZ"/>
        </w:rPr>
        <w:t>)</w:t>
      </w:r>
      <w:r w:rsidRPr="00245CBF">
        <w:rPr>
          <w:rFonts w:cstheme="minorHAnsi"/>
          <w:lang w:val="cs-CZ"/>
        </w:rPr>
        <w:t xml:space="preserve">. </w:t>
      </w:r>
      <w:r w:rsidR="00FA6C4E" w:rsidRPr="00245CBF">
        <w:rPr>
          <w:rFonts w:cstheme="minorHAnsi"/>
          <w:lang w:val="cs-CZ"/>
        </w:rPr>
        <w:t>Podobně to platí</w:t>
      </w:r>
      <w:r w:rsidR="00B065CA" w:rsidRPr="00245CBF">
        <w:rPr>
          <w:rFonts w:cstheme="minorHAnsi"/>
          <w:lang w:val="cs-CZ"/>
        </w:rPr>
        <w:t xml:space="preserve"> ale</w:t>
      </w:r>
      <w:r w:rsidR="00FA6C4E" w:rsidRPr="00245CBF">
        <w:rPr>
          <w:rFonts w:cstheme="minorHAnsi"/>
          <w:lang w:val="cs-CZ"/>
        </w:rPr>
        <w:t xml:space="preserve"> i pro mykofenolát, cyklofosfamid, </w:t>
      </w:r>
      <w:r w:rsidR="00B065CA" w:rsidRPr="00245CBF">
        <w:rPr>
          <w:rFonts w:cstheme="minorHAnsi"/>
          <w:lang w:val="cs-CZ"/>
        </w:rPr>
        <w:t>metotrexát</w:t>
      </w:r>
      <w:r w:rsidR="00FA6C4E" w:rsidRPr="00245CBF">
        <w:rPr>
          <w:rFonts w:cstheme="minorHAnsi"/>
          <w:lang w:val="cs-CZ"/>
        </w:rPr>
        <w:t xml:space="preserve"> a </w:t>
      </w:r>
      <w:r w:rsidR="00B065CA" w:rsidRPr="00245CBF">
        <w:rPr>
          <w:rFonts w:cstheme="minorHAnsi"/>
          <w:lang w:val="cs-CZ"/>
        </w:rPr>
        <w:t xml:space="preserve">konečně i </w:t>
      </w:r>
      <w:r w:rsidR="00FA6C4E" w:rsidRPr="00245CBF">
        <w:rPr>
          <w:rFonts w:cstheme="minorHAnsi"/>
          <w:lang w:val="cs-CZ"/>
        </w:rPr>
        <w:t>další imunosupresivní léky</w:t>
      </w:r>
      <w:r w:rsidR="00A76325" w:rsidRPr="00245CBF">
        <w:rPr>
          <w:rFonts w:cstheme="minorHAnsi"/>
          <w:lang w:val="cs-CZ"/>
        </w:rPr>
        <w:t xml:space="preserve"> (4-8)</w:t>
      </w:r>
      <w:r w:rsidR="00FA6C4E" w:rsidRPr="00245CBF">
        <w:rPr>
          <w:rFonts w:cstheme="minorHAnsi"/>
          <w:lang w:val="cs-CZ"/>
        </w:rPr>
        <w:t xml:space="preserve">. </w:t>
      </w:r>
      <w:r w:rsidR="001C6119" w:rsidRPr="00245CBF">
        <w:rPr>
          <w:rFonts w:cstheme="minorHAnsi"/>
          <w:lang w:val="cs-CZ"/>
        </w:rPr>
        <w:t xml:space="preserve">V úvahu bude nutné vzít i typ onemocnění a jeho aktivitu, věk pacienta a doprovodné choroby. </w:t>
      </w:r>
    </w:p>
    <w:p w14:paraId="772DDB39" w14:textId="4F39833A" w:rsidR="00194591" w:rsidRPr="00245CBF" w:rsidRDefault="00A17764" w:rsidP="00B33E1F">
      <w:pPr>
        <w:tabs>
          <w:tab w:val="num" w:pos="720"/>
        </w:tabs>
        <w:rPr>
          <w:rFonts w:cstheme="minorHAnsi"/>
          <w:lang w:val="cs-CZ"/>
        </w:rPr>
      </w:pPr>
      <w:r>
        <w:rPr>
          <w:rFonts w:cstheme="minorHAnsi"/>
          <w:lang w:val="cs-CZ"/>
        </w:rPr>
        <w:t>Dosud není dostatek údajů</w:t>
      </w:r>
      <w:r w:rsidR="00194591" w:rsidRPr="00245CBF">
        <w:rPr>
          <w:rFonts w:cstheme="minorHAnsi"/>
          <w:lang w:val="cs-CZ"/>
        </w:rPr>
        <w:t xml:space="preserve">, aby bylo možné doporučit </w:t>
      </w:r>
      <w:r>
        <w:rPr>
          <w:rFonts w:cstheme="minorHAnsi"/>
          <w:lang w:val="cs-CZ"/>
        </w:rPr>
        <w:t>konkrétní</w:t>
      </w:r>
      <w:r w:rsidR="00194591" w:rsidRPr="00245CBF">
        <w:rPr>
          <w:rFonts w:cstheme="minorHAnsi"/>
          <w:lang w:val="cs-CZ"/>
        </w:rPr>
        <w:t xml:space="preserve"> vakcínu. Nejspíše přichází v úvahu použít </w:t>
      </w:r>
      <w:r w:rsidR="00FA6C4E" w:rsidRPr="00245CBF">
        <w:rPr>
          <w:rFonts w:cstheme="minorHAnsi"/>
          <w:lang w:val="cs-CZ"/>
        </w:rPr>
        <w:t xml:space="preserve">stejnou mRNA </w:t>
      </w:r>
      <w:r w:rsidR="00194591" w:rsidRPr="00245CBF">
        <w:rPr>
          <w:rFonts w:cstheme="minorHAnsi"/>
          <w:lang w:val="cs-CZ"/>
        </w:rPr>
        <w:t>vakcínu</w:t>
      </w:r>
      <w:r w:rsidR="000F4A9E" w:rsidRPr="00245CBF">
        <w:rPr>
          <w:rFonts w:cstheme="minorHAnsi"/>
          <w:lang w:val="cs-CZ"/>
        </w:rPr>
        <w:t>, jakou</w:t>
      </w:r>
      <w:r w:rsidR="00194591" w:rsidRPr="00245CBF">
        <w:rPr>
          <w:rFonts w:cstheme="minorHAnsi"/>
          <w:lang w:val="cs-CZ"/>
        </w:rPr>
        <w:t xml:space="preserve"> bylo </w:t>
      </w:r>
      <w:r w:rsidR="00194591" w:rsidRPr="00245CBF">
        <w:rPr>
          <w:rFonts w:cstheme="minorHAnsi"/>
          <w:lang w:val="cs-CZ"/>
        </w:rPr>
        <w:t xml:space="preserve">provedeno základní očkování, ale existují údaje o efektivitě očkování i při sekvenční kombinaci </w:t>
      </w:r>
      <w:r w:rsidR="00FA6C4E" w:rsidRPr="00245CBF">
        <w:rPr>
          <w:rFonts w:cstheme="minorHAnsi"/>
          <w:lang w:val="cs-CZ"/>
        </w:rPr>
        <w:t>vektorové a mRNA vakcíny</w:t>
      </w:r>
      <w:r w:rsidR="00C7180A">
        <w:rPr>
          <w:rFonts w:cstheme="minorHAnsi"/>
          <w:lang w:val="cs-CZ"/>
        </w:rPr>
        <w:t xml:space="preserve"> (21)</w:t>
      </w:r>
      <w:bookmarkStart w:id="0" w:name="_GoBack"/>
      <w:bookmarkEnd w:id="0"/>
      <w:r w:rsidR="00194591" w:rsidRPr="00245CBF">
        <w:rPr>
          <w:rFonts w:cstheme="minorHAnsi"/>
          <w:lang w:val="cs-CZ"/>
        </w:rPr>
        <w:t xml:space="preserve">, takže tento fakt </w:t>
      </w:r>
      <w:r w:rsidR="001C6119" w:rsidRPr="00245CBF">
        <w:rPr>
          <w:rFonts w:cstheme="minorHAnsi"/>
          <w:lang w:val="cs-CZ"/>
        </w:rPr>
        <w:t>se nezdá</w:t>
      </w:r>
      <w:r w:rsidR="00194591" w:rsidRPr="00245CBF">
        <w:rPr>
          <w:rFonts w:cstheme="minorHAnsi"/>
          <w:lang w:val="cs-CZ"/>
        </w:rPr>
        <w:t xml:space="preserve"> rozhodující. </w:t>
      </w:r>
    </w:p>
    <w:p w14:paraId="35401258" w14:textId="77777777" w:rsidR="00B33E1F" w:rsidRPr="00245CBF" w:rsidRDefault="00194591" w:rsidP="00B33E1F">
      <w:pPr>
        <w:tabs>
          <w:tab w:val="num" w:pos="720"/>
        </w:tabs>
        <w:rPr>
          <w:rFonts w:cstheme="minorHAnsi"/>
          <w:lang w:val="cs-CZ"/>
        </w:rPr>
      </w:pPr>
      <w:r w:rsidRPr="00245CBF">
        <w:rPr>
          <w:rFonts w:cstheme="minorHAnsi"/>
          <w:lang w:val="cs-CZ"/>
        </w:rPr>
        <w:lastRenderedPageBreak/>
        <w:t>Pokud bude možnost podání třetí dávky vakcíny proti SARS-CoV-2 v České republice v budoucnu oprávněnými úřady umožněn</w:t>
      </w:r>
      <w:r w:rsidR="001C6119" w:rsidRPr="00245CBF">
        <w:rPr>
          <w:rFonts w:cstheme="minorHAnsi"/>
          <w:lang w:val="cs-CZ"/>
        </w:rPr>
        <w:t>a</w:t>
      </w:r>
      <w:r w:rsidRPr="00245CBF">
        <w:rPr>
          <w:rFonts w:cstheme="minorHAnsi"/>
          <w:lang w:val="cs-CZ"/>
        </w:rPr>
        <w:t>, Česká revmatologická společnost doporučuje zvážení</w:t>
      </w:r>
      <w:r w:rsidR="00EF7742" w:rsidRPr="00245CBF">
        <w:rPr>
          <w:rFonts w:cstheme="minorHAnsi"/>
          <w:lang w:val="cs-CZ"/>
        </w:rPr>
        <w:t xml:space="preserve"> této</w:t>
      </w:r>
      <w:r w:rsidRPr="00245CBF">
        <w:rPr>
          <w:rFonts w:cstheme="minorHAnsi"/>
          <w:lang w:val="cs-CZ"/>
        </w:rPr>
        <w:t xml:space="preserve"> třetí dávky</w:t>
      </w:r>
      <w:r w:rsidR="00EF7742" w:rsidRPr="00245CBF">
        <w:rPr>
          <w:rFonts w:cstheme="minorHAnsi"/>
          <w:lang w:val="cs-CZ"/>
        </w:rPr>
        <w:t xml:space="preserve"> v intencích výše zmíněných okolností. </w:t>
      </w:r>
      <w:r w:rsidRPr="00245CBF">
        <w:rPr>
          <w:rFonts w:cstheme="minorHAnsi"/>
          <w:lang w:val="cs-CZ"/>
        </w:rPr>
        <w:t xml:space="preserve"> </w:t>
      </w:r>
    </w:p>
    <w:p w14:paraId="760C7E86" w14:textId="77777777" w:rsidR="00EF7742" w:rsidRPr="00245CBF" w:rsidRDefault="00EF7742" w:rsidP="00B33E1F">
      <w:pPr>
        <w:tabs>
          <w:tab w:val="num" w:pos="720"/>
        </w:tabs>
        <w:rPr>
          <w:rFonts w:cstheme="minorHAnsi"/>
          <w:lang w:val="cs-CZ"/>
        </w:rPr>
      </w:pPr>
      <w:r w:rsidRPr="00245CBF">
        <w:rPr>
          <w:rFonts w:cstheme="minorHAnsi"/>
          <w:lang w:val="cs-CZ"/>
        </w:rPr>
        <w:t xml:space="preserve">(Tato doporučení se budou velmi pravděpodobně upřesňovat, tak jak bude přibývat důkazů o efektivitě a bezpečnosti jednotlivých aspektů podání třetí dávky vakcíny). </w:t>
      </w:r>
    </w:p>
    <w:p w14:paraId="585EE299" w14:textId="77777777" w:rsidR="00F37728" w:rsidRDefault="00F37728" w:rsidP="00B33E1F">
      <w:pPr>
        <w:tabs>
          <w:tab w:val="num" w:pos="720"/>
        </w:tabs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Literatura:</w:t>
      </w:r>
    </w:p>
    <w:p w14:paraId="4B27F49A" w14:textId="77777777" w:rsidR="00393046" w:rsidRPr="00A02E84" w:rsidRDefault="00B035BC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1. </w:t>
      </w:r>
      <w:r w:rsidR="00841848" w:rsidRPr="00A02E84">
        <w:rPr>
          <w:rFonts w:cstheme="minorHAnsi"/>
          <w:color w:val="212121"/>
          <w:sz w:val="18"/>
          <w:szCs w:val="18"/>
          <w:shd w:val="clear" w:color="auto" w:fill="FFFFFF"/>
        </w:rPr>
        <w:t>Akiyama S, Hamdeh S, Micic D, Sakuraba A. Prevalence and clinical outcomes of COVID-19 in patients with autoimmune diseases: a systematic review and meta-analysis. Ann Rheum Dis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="00841848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10.1136/annrheumdis-2020-218946. </w:t>
      </w:r>
    </w:p>
    <w:p w14:paraId="56DF9CCC" w14:textId="77777777" w:rsidR="00B035BC" w:rsidRPr="00A02E84" w:rsidRDefault="00B035BC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2. Zen M, Fuzzi E, Astorri D,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SARS-CoV-2 infection in patients with autoimmune rheumatic diseases in northeast Italy: A cross-sectional study on 916 patients. J Autoimmun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10.1016/j.jaut.2020.102502. </w:t>
      </w:r>
    </w:p>
    <w:p w14:paraId="5B8F2AAE" w14:textId="77777777" w:rsidR="00B035BC" w:rsidRPr="00A02E84" w:rsidRDefault="00B035BC" w:rsidP="00A02E84">
      <w:pPr>
        <w:tabs>
          <w:tab w:val="num" w:pos="720"/>
        </w:tabs>
        <w:spacing w:after="120" w:line="240" w:lineRule="auto"/>
        <w:rPr>
          <w:rFonts w:cstheme="minorHAnsi"/>
          <w:sz w:val="18"/>
          <w:szCs w:val="18"/>
          <w:lang w:val="cs-CZ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3. D'Silva KM, Jorge A, Cohen A,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COVID-19 Outcomes in Patients With Systemic Autoimmune Rheumatic Diseases Compared to the General Population: A US Multicenter, Comparative Cohort Study. Arthritis Rheumatol 2021;73(6):914-920. </w:t>
      </w:r>
    </w:p>
    <w:p w14:paraId="1E65369F" w14:textId="77777777" w:rsidR="00B035BC" w:rsidRPr="00A02E84" w:rsidRDefault="00A4067C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4. </w:t>
      </w:r>
      <w:r w:rsidR="00B035BC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Gianfrancesco M, Hyrich KL, Al-Adely S,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="00B035BC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Characteristics associated with hospitalisation for COVID-19 in people with rheumatic disease: data from the COVID-19 Global Rheumatology Alliance physician-reported registry. Ann Rheum Dis. 2020;79(7):859-866. </w:t>
      </w:r>
    </w:p>
    <w:p w14:paraId="2BED2A56" w14:textId="77777777" w:rsidR="00B035BC" w:rsidRPr="00A02E84" w:rsidRDefault="00A4067C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>5. Brito-Zerón P, Sisó-Almirall A, Flores-Chavez A, Retamozo S, Ramos-Casals M. SARS-CoV-2 infection in patients with systemic autoimmune diseases. Clin Exp Rheumatol 2021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39(3):676-687. </w:t>
      </w:r>
    </w:p>
    <w:p w14:paraId="447DDE0A" w14:textId="77777777" w:rsidR="00A4067C" w:rsidRPr="00A02E84" w:rsidRDefault="00A4067C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>6. Arnold J, Winthrop K, Emery P. COVID-19 vaccination and antirheumatic therapy. Rheumatology (Oxford)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2021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;60(8):3496-3502. </w:t>
      </w:r>
    </w:p>
    <w:p w14:paraId="2BBBF356" w14:textId="77777777" w:rsidR="00901DFF" w:rsidRPr="00A02E84" w:rsidRDefault="00901DFF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7. Strangfeld A, Schäfer M, Gianfrancesco MA,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Factors associated with COVID-19-related death in people with rheumatic diseases: results from the COVID-19 Global Rheumatology Alliance physician-reported registry. Ann Rheum Dis 2021;80(7):930-942. </w:t>
      </w:r>
    </w:p>
    <w:p w14:paraId="6472EB94" w14:textId="77777777" w:rsidR="00901DFF" w:rsidRPr="00A02E84" w:rsidRDefault="00901DFF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8. Sparks JA, Wallace ZS, Seet AM,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et al. 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Associations of baseline use of biologic or targeted synthetic DMARDs with COVID-19 severity in rheumatoid arthritis: Results from the COVID-19 Global Rheumatology Alliance physician registry. Ann Rheum Dis 2021;80(9):1137-1146. </w:t>
      </w:r>
    </w:p>
    <w:p w14:paraId="27C47598" w14:textId="77777777" w:rsidR="00A4067C" w:rsidRPr="00A02E84" w:rsidRDefault="00901DFF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9. Geisen UM, Berner DK, Tran F, 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et al. 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>Immunogenicity and safety of anti-SARS-CoV-2 mRNA vaccines in patients with chronic inflammatory conditions and immunosuppressive therapy in a monocentric cohort. Ann Rheum Dis 2021</w:t>
      </w:r>
      <w:r w:rsidR="0049723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10.1136/annrheumdis-2021-220272. </w:t>
      </w:r>
    </w:p>
    <w:p w14:paraId="36E0001E" w14:textId="77777777" w:rsidR="00E55A15" w:rsidRPr="00A02E84" w:rsidRDefault="00E55A15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10. Tenforde MW, Patel MM, Ginde AA,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Effectiveness of SARS-CoV-2 mRNA Vaccines for Preventing Covid-19 Hospitalizations in the United States. Clin Infect Dis 2021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; 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doi: 10.1093/cid/ciab687. </w:t>
      </w:r>
    </w:p>
    <w:p w14:paraId="4A7145B5" w14:textId="77777777" w:rsidR="00E55A15" w:rsidRPr="00A02E84" w:rsidRDefault="00E55A15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11. Brosh-Nissimov T, Orenbuch-Harroch E, Chowers M,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et al. 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>BNT162b2 vaccine breakthrough: clinical characteristics of 152 fully vaccinated hospitalized COVID-19 patients in Israel. Clin Microbiol Infect 2021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: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10.1016/j.cmi.2021.06.036. </w:t>
      </w:r>
    </w:p>
    <w:p w14:paraId="768BFD2E" w14:textId="12EAC782" w:rsidR="00D93D52" w:rsidRPr="00353D8B" w:rsidRDefault="00D93D52" w:rsidP="00A02E84">
      <w:pPr>
        <w:pStyle w:val="Nadpis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</w:pPr>
      <w:r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>12.</w:t>
      </w:r>
      <w:r w:rsidR="00EE561F"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 xml:space="preserve"> </w:t>
      </w:r>
      <w:r w:rsidR="00EE561F" w:rsidRPr="00353D8B">
        <w:rPr>
          <w:rFonts w:asciiTheme="minorHAnsi" w:hAnsiTheme="minorHAnsi" w:cstheme="minorHAnsi"/>
          <w:b w:val="0"/>
          <w:i/>
          <w:iCs/>
          <w:color w:val="000000"/>
          <w:sz w:val="18"/>
          <w:szCs w:val="20"/>
        </w:rPr>
        <w:t xml:space="preserve">Centers for Disease Control and </w:t>
      </w:r>
      <w:r w:rsidR="00EE561F" w:rsidRPr="00353D8B">
        <w:rPr>
          <w:rFonts w:asciiTheme="minorHAnsi" w:hAnsiTheme="minorHAnsi" w:cstheme="minorHAnsi"/>
          <w:b w:val="0"/>
          <w:i/>
          <w:sz w:val="18"/>
          <w:szCs w:val="18"/>
        </w:rPr>
        <w:t>Prevention</w:t>
      </w:r>
      <w:r w:rsidR="00353D8B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53D8B">
        <w:rPr>
          <w:rFonts w:asciiTheme="minorHAnsi" w:hAnsiTheme="minorHAnsi" w:cstheme="minorHAnsi"/>
          <w:b w:val="0"/>
          <w:sz w:val="18"/>
          <w:szCs w:val="18"/>
          <w:lang w:val="en-GB"/>
        </w:rPr>
        <w:t>[</w:t>
      </w:r>
      <w:r w:rsidR="00EE561F" w:rsidRPr="00353D8B">
        <w:rPr>
          <w:rFonts w:asciiTheme="minorHAnsi" w:hAnsiTheme="minorHAnsi" w:cstheme="minorHAnsi"/>
          <w:b w:val="0"/>
          <w:sz w:val="18"/>
          <w:szCs w:val="18"/>
        </w:rPr>
        <w:t xml:space="preserve">online]. </w:t>
      </w:r>
      <w:r w:rsidRPr="00353D8B">
        <w:rPr>
          <w:rFonts w:asciiTheme="minorHAnsi" w:hAnsiTheme="minorHAnsi" w:cstheme="minorHAnsi"/>
          <w:b w:val="0"/>
          <w:sz w:val="18"/>
          <w:szCs w:val="18"/>
        </w:rPr>
        <w:t>COVID-19</w:t>
      </w:r>
      <w:r w:rsidRPr="00353D8B">
        <w:rPr>
          <w:rFonts w:asciiTheme="minorHAnsi" w:hAnsiTheme="minorHAnsi" w:cstheme="minorHAnsi"/>
          <w:b w:val="0"/>
          <w:bCs w:val="0"/>
          <w:color w:val="000000"/>
          <w:sz w:val="18"/>
          <w:szCs w:val="20"/>
        </w:rPr>
        <w:t xml:space="preserve"> Vaccines for Moderately to Severely Immunocompromised People</w:t>
      </w:r>
      <w:r w:rsidR="00EE561F" w:rsidRPr="00353D8B">
        <w:rPr>
          <w:rFonts w:asciiTheme="minorHAnsi" w:hAnsiTheme="minorHAnsi" w:cstheme="minorHAnsi"/>
          <w:b w:val="0"/>
          <w:bCs w:val="0"/>
          <w:color w:val="000000"/>
          <w:sz w:val="18"/>
          <w:szCs w:val="20"/>
        </w:rPr>
        <w:t xml:space="preserve">, </w:t>
      </w:r>
      <w:r w:rsidR="008E0B1C" w:rsidRPr="00353D8B">
        <w:rPr>
          <w:rFonts w:asciiTheme="minorHAnsi" w:hAnsiTheme="minorHAnsi" w:cstheme="minorHAnsi"/>
          <w:b w:val="0"/>
          <w:sz w:val="18"/>
          <w:szCs w:val="20"/>
        </w:rPr>
        <w:t>[cit. 2021</w:t>
      </w:r>
      <w:r w:rsidR="00EE561F" w:rsidRPr="00353D8B">
        <w:rPr>
          <w:rFonts w:asciiTheme="minorHAnsi" w:hAnsiTheme="minorHAnsi" w:cstheme="minorHAnsi"/>
          <w:b w:val="0"/>
          <w:sz w:val="18"/>
          <w:szCs w:val="20"/>
        </w:rPr>
        <w:t>-</w:t>
      </w:r>
      <w:r w:rsidR="008E0B1C" w:rsidRPr="00353D8B">
        <w:rPr>
          <w:rFonts w:asciiTheme="minorHAnsi" w:hAnsiTheme="minorHAnsi" w:cstheme="minorHAnsi"/>
          <w:b w:val="0"/>
          <w:sz w:val="18"/>
          <w:szCs w:val="20"/>
        </w:rPr>
        <w:t>08</w:t>
      </w:r>
      <w:r w:rsidR="00EE561F" w:rsidRPr="00353D8B">
        <w:rPr>
          <w:rFonts w:asciiTheme="minorHAnsi" w:hAnsiTheme="minorHAnsi" w:cstheme="minorHAnsi"/>
          <w:b w:val="0"/>
          <w:sz w:val="18"/>
          <w:szCs w:val="20"/>
        </w:rPr>
        <w:t>-</w:t>
      </w:r>
      <w:r w:rsidR="008E0B1C" w:rsidRPr="00353D8B">
        <w:rPr>
          <w:rFonts w:asciiTheme="minorHAnsi" w:hAnsiTheme="minorHAnsi" w:cstheme="minorHAnsi"/>
          <w:b w:val="0"/>
          <w:sz w:val="18"/>
          <w:szCs w:val="20"/>
        </w:rPr>
        <w:t>22</w:t>
      </w:r>
      <w:r w:rsidR="00EE561F" w:rsidRPr="00353D8B">
        <w:rPr>
          <w:rFonts w:asciiTheme="minorHAnsi" w:hAnsiTheme="minorHAnsi" w:cstheme="minorHAnsi"/>
          <w:b w:val="0"/>
          <w:sz w:val="18"/>
          <w:szCs w:val="20"/>
        </w:rPr>
        <w:t>].</w:t>
      </w:r>
      <w:r w:rsidR="00353D8B">
        <w:rPr>
          <w:rFonts w:asciiTheme="minorHAnsi" w:hAnsiTheme="minorHAnsi" w:cstheme="minorHAnsi"/>
          <w:b w:val="0"/>
          <w:sz w:val="18"/>
          <w:szCs w:val="20"/>
        </w:rPr>
        <w:t xml:space="preserve"> </w:t>
      </w:r>
      <w:r w:rsidR="00EE561F" w:rsidRPr="00353D8B">
        <w:rPr>
          <w:rFonts w:asciiTheme="minorHAnsi" w:hAnsiTheme="minorHAnsi" w:cstheme="minorHAnsi"/>
          <w:b w:val="0"/>
          <w:bCs w:val="0"/>
          <w:color w:val="000000"/>
          <w:sz w:val="18"/>
          <w:szCs w:val="20"/>
        </w:rPr>
        <w:t>Dostupné z:</w:t>
      </w:r>
      <w:r w:rsidRPr="00353D8B">
        <w:rPr>
          <w:rFonts w:asciiTheme="minorHAnsi" w:hAnsiTheme="minorHAnsi" w:cstheme="minorHAnsi"/>
          <w:b w:val="0"/>
          <w:bCs w:val="0"/>
          <w:color w:val="000000"/>
          <w:sz w:val="18"/>
          <w:szCs w:val="20"/>
        </w:rPr>
        <w:t xml:space="preserve"> </w:t>
      </w:r>
      <w:hyperlink r:id="rId5" w:history="1">
        <w:r w:rsidRPr="00353D8B">
          <w:rPr>
            <w:rStyle w:val="Hypertextovodkaz"/>
            <w:rFonts w:asciiTheme="minorHAnsi" w:hAnsiTheme="minorHAnsi" w:cstheme="minorHAnsi"/>
            <w:b w:val="0"/>
            <w:sz w:val="18"/>
            <w:szCs w:val="20"/>
            <w:shd w:val="clear" w:color="auto" w:fill="FFFFFF"/>
          </w:rPr>
          <w:t>https://www.cdc.gov/coronavirus/2019-ncov/vaccines/recommendations/immuno.html</w:t>
        </w:r>
      </w:hyperlink>
      <w:r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 xml:space="preserve">. </w:t>
      </w:r>
    </w:p>
    <w:p w14:paraId="737CB20A" w14:textId="62D07595" w:rsidR="00D93D52" w:rsidRPr="00353D8B" w:rsidRDefault="00D93D52" w:rsidP="00A02E84">
      <w:pPr>
        <w:pStyle w:val="Nadpis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</w:pPr>
      <w:r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>13.</w:t>
      </w:r>
      <w:r w:rsidR="008E0B1C"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 xml:space="preserve"> </w:t>
      </w:r>
      <w:r w:rsidR="008E0B1C" w:rsidRPr="00353D8B">
        <w:rPr>
          <w:rFonts w:asciiTheme="minorHAnsi" w:hAnsiTheme="minorHAnsi" w:cstheme="minorHAnsi"/>
          <w:b w:val="0"/>
          <w:i/>
          <w:color w:val="212121"/>
          <w:sz w:val="18"/>
          <w:szCs w:val="20"/>
          <w:shd w:val="clear" w:color="auto" w:fill="FFFFFF"/>
        </w:rPr>
        <w:t>American College of Rheumatology</w:t>
      </w:r>
      <w:r w:rsid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 xml:space="preserve"> </w:t>
      </w:r>
      <w:r w:rsidR="00353D8B">
        <w:rPr>
          <w:rFonts w:asciiTheme="minorHAnsi" w:hAnsiTheme="minorHAnsi" w:cstheme="minorHAnsi"/>
          <w:b w:val="0"/>
          <w:sz w:val="18"/>
          <w:szCs w:val="18"/>
          <w:lang w:val="en-GB"/>
        </w:rPr>
        <w:t>[</w:t>
      </w:r>
      <w:r w:rsidR="00353D8B" w:rsidRPr="00353D8B">
        <w:rPr>
          <w:rFonts w:asciiTheme="minorHAnsi" w:hAnsiTheme="minorHAnsi" w:cstheme="minorHAnsi"/>
          <w:b w:val="0"/>
          <w:sz w:val="18"/>
          <w:szCs w:val="18"/>
        </w:rPr>
        <w:t xml:space="preserve">online]. </w:t>
      </w:r>
      <w:r w:rsidRPr="00353D8B">
        <w:rPr>
          <w:rFonts w:asciiTheme="minorHAnsi" w:hAnsiTheme="minorHAnsi" w:cstheme="minorHAnsi"/>
          <w:b w:val="0"/>
          <w:sz w:val="18"/>
          <w:szCs w:val="20"/>
        </w:rPr>
        <w:t>COVID-19 Vaccine Clinical Guidance Summary for Patients with Rheumatic and Musculoskeletal Diseases,</w:t>
      </w:r>
      <w:r w:rsidR="008E0B1C" w:rsidRPr="00353D8B">
        <w:rPr>
          <w:rFonts w:asciiTheme="minorHAnsi" w:hAnsiTheme="minorHAnsi" w:cstheme="minorHAnsi"/>
          <w:b w:val="0"/>
          <w:sz w:val="18"/>
          <w:szCs w:val="20"/>
        </w:rPr>
        <w:t xml:space="preserve"> </w:t>
      </w:r>
      <w:r w:rsidR="008E0B1C" w:rsidRPr="00353D8B">
        <w:rPr>
          <w:rFonts w:asciiTheme="minorHAnsi" w:hAnsiTheme="minorHAnsi" w:cstheme="minorHAnsi"/>
          <w:b w:val="0"/>
          <w:sz w:val="18"/>
          <w:szCs w:val="20"/>
        </w:rPr>
        <w:t>[cit. 2021-08-22</w:t>
      </w:r>
      <w:r w:rsidR="00353D8B">
        <w:rPr>
          <w:rFonts w:asciiTheme="minorHAnsi" w:hAnsiTheme="minorHAnsi" w:cstheme="minorHAnsi"/>
          <w:b w:val="0"/>
          <w:sz w:val="18"/>
          <w:szCs w:val="20"/>
        </w:rPr>
        <w:t xml:space="preserve">]. </w:t>
      </w:r>
      <w:r w:rsidR="00353D8B" w:rsidRPr="00353D8B">
        <w:rPr>
          <w:rFonts w:asciiTheme="minorHAnsi" w:hAnsiTheme="minorHAnsi" w:cstheme="minorHAnsi"/>
          <w:b w:val="0"/>
          <w:bCs w:val="0"/>
          <w:color w:val="000000"/>
          <w:sz w:val="18"/>
          <w:szCs w:val="20"/>
        </w:rPr>
        <w:t xml:space="preserve">Dostupné z: </w:t>
      </w:r>
      <w:hyperlink r:id="rId6" w:history="1">
        <w:r w:rsidRPr="00353D8B">
          <w:rPr>
            <w:rStyle w:val="Hypertextovodkaz"/>
            <w:rFonts w:asciiTheme="minorHAnsi" w:hAnsiTheme="minorHAnsi" w:cstheme="minorHAnsi"/>
            <w:b w:val="0"/>
            <w:sz w:val="18"/>
            <w:szCs w:val="20"/>
            <w:shd w:val="clear" w:color="auto" w:fill="FFFFFF"/>
          </w:rPr>
          <w:t>https://www.rheumatology.org/Portals/0/Files/COVID-19-Vaccine-Clinical-Guidance-Rheumatic-Diseases-Summary.pdf</w:t>
        </w:r>
      </w:hyperlink>
      <w:r w:rsidRPr="00353D8B">
        <w:rPr>
          <w:rFonts w:asciiTheme="minorHAnsi" w:hAnsiTheme="minorHAnsi" w:cstheme="minorHAnsi"/>
          <w:b w:val="0"/>
          <w:color w:val="212121"/>
          <w:sz w:val="18"/>
          <w:szCs w:val="20"/>
          <w:shd w:val="clear" w:color="auto" w:fill="FFFFFF"/>
        </w:rPr>
        <w:t>.</w:t>
      </w:r>
    </w:p>
    <w:p w14:paraId="11C70BDE" w14:textId="77777777" w:rsidR="00393046" w:rsidRPr="00A02E84" w:rsidRDefault="00D93D52" w:rsidP="00A02E84">
      <w:pPr>
        <w:tabs>
          <w:tab w:val="num" w:pos="720"/>
        </w:tabs>
        <w:spacing w:after="120" w:line="240" w:lineRule="auto"/>
        <w:rPr>
          <w:rFonts w:cstheme="minorHAnsi"/>
          <w:sz w:val="18"/>
          <w:szCs w:val="18"/>
          <w:lang w:val="cs-CZ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14.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Hall VG, Ferreira VH, Ku T, Ierullo M,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Randomized Trial of a Third Dose of mRNA-1273 Vaccine in Transplant Recipients. N Engl J Med 2021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10.1056/NEJMc2111462. </w:t>
      </w:r>
    </w:p>
    <w:p w14:paraId="1C1EFC39" w14:textId="77777777" w:rsidR="00393046" w:rsidRPr="00A02E84" w:rsidRDefault="00D93D52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15.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>Kamar N, Abravanel F, Marion O, Couat C, Izopet J, Del Bello A. Three Doses of an mRNA Covid-19 Vaccine in Solid-Organ Transplant Recipients. N Engl J Med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2021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;385(7):661-662. </w:t>
      </w:r>
    </w:p>
    <w:p w14:paraId="6BBECF80" w14:textId="77777777" w:rsidR="00393046" w:rsidRPr="00A02E84" w:rsidRDefault="00D93D52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16.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Del Bello A, Abravanel F, Marion O,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et al.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>Efficiency of a boost with a third dose of anti-SARS-CoV-2 messenger RNA-based vaccines in solid organ transpl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ant recipients. Am J Transplant 2021;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doi: 10.1111/ajt.16775. </w:t>
      </w:r>
    </w:p>
    <w:p w14:paraId="122B5591" w14:textId="77777777" w:rsidR="00393046" w:rsidRPr="00A02E84" w:rsidRDefault="00D93D52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17.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>Benotmane I, Gautier G, Perrin P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, et al.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Antibody Response After a Third Dose of the mRNA-1273 SARS-CoV-2 Vaccine in Kidney Transplant Recipients With Minimal Serologic Response to 2 Doses. JAMA 2021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;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doi: 10.1001/jama.2021.12339. </w:t>
      </w:r>
    </w:p>
    <w:p w14:paraId="237E5D17" w14:textId="17DDC5E1" w:rsidR="00393046" w:rsidRDefault="00D93D52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18.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Werbel WA, Boyarsky BJ, Ou MT,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et al.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>Safety and Immunogenicity of a Third Dose of SARS-CoV-2 Vaccine in Solid Organ Transplant Recipients: A Case Series. Ann Intern Med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2021; </w:t>
      </w:r>
      <w:r w:rsidR="00393046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doi: 10.7326/L21-0282. </w:t>
      </w:r>
    </w:p>
    <w:p w14:paraId="37DA1F66" w14:textId="768EEE97" w:rsidR="0041269E" w:rsidRPr="0041269E" w:rsidRDefault="0041269E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  <w:lang w:val="cs-CZ"/>
        </w:rPr>
      </w:pPr>
      <w:r w:rsidRPr="0041269E">
        <w:rPr>
          <w:sz w:val="18"/>
          <w:szCs w:val="18"/>
        </w:rPr>
        <w:lastRenderedPageBreak/>
        <w:t>19.</w:t>
      </w:r>
      <w:r>
        <w:rPr>
          <w:i/>
          <w:sz w:val="18"/>
          <w:szCs w:val="18"/>
        </w:rPr>
        <w:t xml:space="preserve"> </w:t>
      </w:r>
      <w:r w:rsidR="0081310B" w:rsidRPr="0041269E">
        <w:rPr>
          <w:i/>
          <w:sz w:val="18"/>
          <w:szCs w:val="18"/>
        </w:rPr>
        <w:t>Společnost pro orgánové transplantace České lékařské společnosti JEP, z.s</w:t>
      </w:r>
      <w:r w:rsidR="0081310B" w:rsidRPr="0041269E">
        <w:rPr>
          <w:sz w:val="18"/>
          <w:szCs w:val="18"/>
        </w:rPr>
        <w:t>.</w:t>
      </w:r>
      <w:r w:rsidR="0081310B" w:rsidRPr="0041269E">
        <w:rPr>
          <w:sz w:val="18"/>
          <w:szCs w:val="18"/>
        </w:rPr>
        <w:t xml:space="preserve"> </w:t>
      </w:r>
      <w:r w:rsidR="0081310B" w:rsidRPr="0041269E">
        <w:rPr>
          <w:rFonts w:cstheme="minorHAnsi"/>
          <w:sz w:val="18"/>
          <w:szCs w:val="18"/>
        </w:rPr>
        <w:t>[online].</w:t>
      </w:r>
      <w:r w:rsidRPr="0041269E">
        <w:rPr>
          <w:rFonts w:cstheme="minorHAnsi"/>
          <w:sz w:val="18"/>
          <w:szCs w:val="18"/>
        </w:rPr>
        <w:t xml:space="preserve"> </w:t>
      </w:r>
      <w:r w:rsidRPr="0041269E">
        <w:rPr>
          <w:sz w:val="18"/>
          <w:szCs w:val="18"/>
        </w:rPr>
        <w:t>Stanovisko Společnosti pro orgánové transplantace ČLS JEP, České společnosti pro alergologii a klinickou imunologii ČLS JEP, České vakcinologické společnosti ČLS JEP a Společnosti pro epidemiologii a mikrobiologii ČLS JEP ke třetí dávce očkování proti nemoci covid-19 u pacientů po transplantaci solidních orgánů</w:t>
      </w:r>
      <w:r w:rsidRPr="0041269E">
        <w:rPr>
          <w:sz w:val="18"/>
          <w:szCs w:val="18"/>
        </w:rPr>
        <w:t xml:space="preserve">. </w:t>
      </w:r>
      <w:r w:rsidRPr="0041269E">
        <w:rPr>
          <w:rFonts w:cstheme="minorHAnsi"/>
          <w:sz w:val="18"/>
          <w:szCs w:val="18"/>
        </w:rPr>
        <w:t>[cit. 2021-08-22].</w:t>
      </w:r>
      <w:r w:rsidRPr="0041269E">
        <w:rPr>
          <w:rFonts w:cstheme="minorHAnsi"/>
          <w:sz w:val="18"/>
          <w:szCs w:val="18"/>
        </w:rPr>
        <w:t xml:space="preserve"> Dostupn</w:t>
      </w:r>
      <w:r w:rsidRPr="0041269E">
        <w:rPr>
          <w:rFonts w:cstheme="minorHAnsi"/>
          <w:sz w:val="18"/>
          <w:szCs w:val="18"/>
          <w:lang w:val="cs-CZ"/>
        </w:rPr>
        <w:t xml:space="preserve">é z: </w:t>
      </w:r>
      <w:hyperlink r:id="rId7" w:history="1">
        <w:r w:rsidRPr="0041269E">
          <w:rPr>
            <w:rStyle w:val="Hypertextovodkaz"/>
            <w:rFonts w:cstheme="minorHAnsi"/>
            <w:sz w:val="18"/>
            <w:szCs w:val="18"/>
            <w:lang w:val="cs-CZ"/>
          </w:rPr>
          <w:t>http://sotcls.cz/</w:t>
        </w:r>
      </w:hyperlink>
      <w:r w:rsidRPr="0041269E">
        <w:rPr>
          <w:rFonts w:cstheme="minorHAnsi"/>
          <w:sz w:val="18"/>
          <w:szCs w:val="18"/>
          <w:lang w:val="cs-CZ"/>
        </w:rPr>
        <w:t xml:space="preserve"> </w:t>
      </w:r>
    </w:p>
    <w:p w14:paraId="41C604C9" w14:textId="54E40301" w:rsidR="00B035BC" w:rsidRPr="00A02E84" w:rsidRDefault="00730559" w:rsidP="00A02E84">
      <w:pPr>
        <w:tabs>
          <w:tab w:val="num" w:pos="720"/>
        </w:tabs>
        <w:spacing w:after="120" w:line="24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>
        <w:rPr>
          <w:rFonts w:cstheme="minorHAnsi"/>
          <w:color w:val="212121"/>
          <w:sz w:val="18"/>
          <w:szCs w:val="18"/>
          <w:shd w:val="clear" w:color="auto" w:fill="FFFFFF"/>
        </w:rPr>
        <w:t>20</w:t>
      </w:r>
      <w:r w:rsidR="00D93D52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.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Patel NJ, D'Silva KM, Hsu TY, et al.</w:t>
      </w:r>
      <w:r w:rsidR="00B035BC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COVID-19 Outcomes Among Users of CD20 Inhibitors for Immune-Mediated Diseases: A Comparative Cohort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Study. medRxiv [Preprint]. 2021; </w:t>
      </w:r>
      <w:r w:rsidR="00B035BC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doi: 10.1101/2021.08.05.21261643. </w:t>
      </w:r>
    </w:p>
    <w:p w14:paraId="64B26D28" w14:textId="1A88EF58" w:rsidR="00497239" w:rsidRPr="00A02E84" w:rsidRDefault="00497239" w:rsidP="00A02E84">
      <w:pPr>
        <w:tabs>
          <w:tab w:val="num" w:pos="720"/>
        </w:tabs>
        <w:spacing w:after="120" w:line="240" w:lineRule="auto"/>
        <w:rPr>
          <w:rFonts w:cstheme="minorHAnsi"/>
          <w:sz w:val="18"/>
          <w:szCs w:val="18"/>
          <w:lang w:val="cs-CZ"/>
        </w:rPr>
      </w:pP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>2</w:t>
      </w:r>
      <w:r w:rsidR="00730559">
        <w:rPr>
          <w:rFonts w:cstheme="minorHAnsi"/>
          <w:color w:val="212121"/>
          <w:sz w:val="18"/>
          <w:szCs w:val="18"/>
          <w:shd w:val="clear" w:color="auto" w:fill="FFFFFF"/>
        </w:rPr>
        <w:t>1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. Liu X, Shaw RH, Stuart ASV, 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>et al.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Safety and immunogenicity of heterologous versus homologous prime-boost schedules with an adenoviral vectored and mRNA COVID-19 vaccine (Com-COV): a single-blind, randomised, non-inferiority trial. Lancet</w:t>
      </w:r>
      <w:r w:rsidR="00BA13F9"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 2021; </w:t>
      </w:r>
      <w:r w:rsidRPr="00A02E84">
        <w:rPr>
          <w:rFonts w:cstheme="minorHAnsi"/>
          <w:color w:val="212121"/>
          <w:sz w:val="18"/>
          <w:szCs w:val="18"/>
          <w:shd w:val="clear" w:color="auto" w:fill="FFFFFF"/>
        </w:rPr>
        <w:t xml:space="preserve">doi: 10.1016/S0140-6736(21)01694-9. </w:t>
      </w:r>
    </w:p>
    <w:sectPr w:rsidR="00497239" w:rsidRPr="00A02E84" w:rsidSect="00FE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25A0"/>
    <w:multiLevelType w:val="multilevel"/>
    <w:tmpl w:val="69206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E3BF3"/>
    <w:multiLevelType w:val="hybridMultilevel"/>
    <w:tmpl w:val="2C760206"/>
    <w:lvl w:ilvl="0" w:tplc="1F9C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E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D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4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4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0E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6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E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E1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wNTK0MDW1sDAzMDFX0lEKTi0uzszPAykwrAUAc4y/QywAAAA="/>
  </w:docVars>
  <w:rsids>
    <w:rsidRoot w:val="0000702D"/>
    <w:rsid w:val="0000702D"/>
    <w:rsid w:val="000F4A9E"/>
    <w:rsid w:val="00194591"/>
    <w:rsid w:val="001C6119"/>
    <w:rsid w:val="00245CBF"/>
    <w:rsid w:val="00353D8B"/>
    <w:rsid w:val="00393046"/>
    <w:rsid w:val="003A46DB"/>
    <w:rsid w:val="003E143F"/>
    <w:rsid w:val="0041269E"/>
    <w:rsid w:val="00493F42"/>
    <w:rsid w:val="00497239"/>
    <w:rsid w:val="004C0463"/>
    <w:rsid w:val="005903F4"/>
    <w:rsid w:val="006045B2"/>
    <w:rsid w:val="006E7045"/>
    <w:rsid w:val="00727FCC"/>
    <w:rsid w:val="00730559"/>
    <w:rsid w:val="0080192C"/>
    <w:rsid w:val="0081310B"/>
    <w:rsid w:val="00821B98"/>
    <w:rsid w:val="0082583C"/>
    <w:rsid w:val="00841848"/>
    <w:rsid w:val="008E0B1C"/>
    <w:rsid w:val="00901DFF"/>
    <w:rsid w:val="009C5220"/>
    <w:rsid w:val="00A02E84"/>
    <w:rsid w:val="00A17764"/>
    <w:rsid w:val="00A34166"/>
    <w:rsid w:val="00A4067C"/>
    <w:rsid w:val="00A76325"/>
    <w:rsid w:val="00AA6452"/>
    <w:rsid w:val="00B035BC"/>
    <w:rsid w:val="00B065CA"/>
    <w:rsid w:val="00B33E1F"/>
    <w:rsid w:val="00BA13F9"/>
    <w:rsid w:val="00BE5B85"/>
    <w:rsid w:val="00C7180A"/>
    <w:rsid w:val="00D2451C"/>
    <w:rsid w:val="00D93D52"/>
    <w:rsid w:val="00E55A15"/>
    <w:rsid w:val="00EE561F"/>
    <w:rsid w:val="00EF7742"/>
    <w:rsid w:val="00F15B1E"/>
    <w:rsid w:val="00F37728"/>
    <w:rsid w:val="00FA6C4E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773D"/>
  <w15:chartTrackingRefBased/>
  <w15:docId w15:val="{C96A3809-961C-4050-8E48-024050C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3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7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0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0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0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F4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93D52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93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tcl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eumatology.org/Portals/0/Files/COVID-19-Vaccine-Clinical-Guidance-Rheumatic-Diseases-Summary.pdf" TargetMode="External"/><Relationship Id="rId5" Type="http://schemas.openxmlformats.org/officeDocument/2006/relationships/hyperlink" Target="https://www.cdc.gov/coronavirus/2019-ncov/vaccines/recommendations/immun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Vencovsky</dc:creator>
  <cp:keywords/>
  <dc:description/>
  <cp:lastModifiedBy>Vencovský Jiří</cp:lastModifiedBy>
  <cp:revision>5</cp:revision>
  <dcterms:created xsi:type="dcterms:W3CDTF">2021-08-23T12:05:00Z</dcterms:created>
  <dcterms:modified xsi:type="dcterms:W3CDTF">2021-08-23T12:13:00Z</dcterms:modified>
</cp:coreProperties>
</file>